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autoSpaceDN w:val="0"/>
        <w:adjustRightInd w:val="0"/>
        <w:snapToGrid w:val="0"/>
        <w:spacing w:line="576" w:lineRule="exact"/>
        <w:jc w:val="center"/>
        <w:rPr>
          <w:rFonts w:ascii="Times New Roman" w:eastAsia="方正小标宋_GBK" w:cs="Times New Roman" w:hAnsi="Times New Roman"/>
          <w:sz w:val="44"/>
          <w:szCs w:val="44"/>
          <w:lang w:bidi="ar-SA"/>
        </w:rPr>
      </w:pPr>
      <w:r>
        <w:rPr>
          <w:rFonts w:ascii="Times New Roman" w:eastAsia="方正小标宋_GBK" w:hAnsi="Times New Roman"/>
          <w:color w:val="000000"/>
          <w:sz w:val="44"/>
          <w:szCs w:val="44"/>
        </w:rPr>
        <w:t>2026年1至4月</w:t>
      </w:r>
      <w:r>
        <w:rPr>
          <w:rFonts w:ascii="Times New Roman" w:eastAsia="方正小标宋_GBK" w:cs="Times New Roman" w:hAnsi="Times New Roman"/>
          <w:sz w:val="44"/>
          <w:szCs w:val="44"/>
          <w:lang w:bidi="ar-SA"/>
        </w:rPr>
        <w:t>西藏自治区外贸</w:t>
      </w:r>
      <w:r>
        <w:rPr>
          <w:rFonts w:ascii="Times New Roman" w:eastAsia="方正小标宋_GBK" w:cs="Times New Roman" w:hAnsi="Times New Roman" w:hint="eastAsia"/>
          <w:sz w:val="44"/>
          <w:szCs w:val="44"/>
          <w:lang w:bidi="ar-SA"/>
        </w:rPr>
        <w:t>简况</w:t>
      </w:r>
    </w:p>
    <w:p>
      <w:pPr>
        <w:adjustRightInd w:val="0"/>
        <w:snapToGrid w:val="0"/>
        <w:spacing w:line="576" w:lineRule="exact"/>
        <w:ind w:firstLineChars="200" w:firstLine="640"/>
        <w:rPr>
          <w:rFonts w:ascii="Times New Roman" w:eastAsia="方正黑体_GBK" w:cs="Times New Roman" w:hAnsi="Times New Roman"/>
          <w:color w:val="000000"/>
          <w:kern w:val="0"/>
          <w:sz w:val="32"/>
          <w:szCs w:val="32"/>
          <w:lang w:bidi="ar-SA"/>
        </w:rPr>
      </w:pPr>
    </w:p>
    <w:p>
      <w:pPr>
        <w:pStyle w:val="34"/>
        <w:tabs>
          <w:tab w:val="left" w:pos="4680"/>
        </w:tabs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>
        <w:rPr>
          <w:rFonts w:ascii="Times New Roman" w:eastAsia="方正仿宋_GBK" w:hAnsi="Times New Roman"/>
          <w:kern w:val="0"/>
          <w:sz w:val="32"/>
          <w:szCs w:val="32"/>
        </w:rPr>
        <w:t>据海关统计，</w:t>
      </w:r>
      <w:r>
        <w:rPr>
          <w:rFonts w:ascii="Times New Roman" w:eastAsia="方正仿宋_GBK" w:hAnsi="Times New Roman"/>
          <w:snapToGrid w:val="0"/>
          <w:spacing w:val="-4"/>
          <w:kern w:val="0"/>
          <w:sz w:val="32"/>
          <w:szCs w:val="32"/>
        </w:rPr>
        <w:t>2026年1至4月</w:t>
      </w:r>
      <w:r>
        <w:rPr>
          <w:rFonts w:ascii="Times New Roman" w:eastAsia="方正仿宋_GBK" w:hAnsi="Times New Roman"/>
          <w:kern w:val="0"/>
          <w:sz w:val="32"/>
          <w:szCs w:val="32"/>
        </w:rPr>
        <w:t>，西藏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货物贸易</w:t>
      </w:r>
      <w:r>
        <w:rPr>
          <w:rFonts w:ascii="Times New Roman" w:eastAsia="方正仿宋_GBK" w:hAnsi="Times New Roman"/>
          <w:kern w:val="0"/>
          <w:sz w:val="32"/>
          <w:szCs w:val="32"/>
        </w:rPr>
        <w:t>进出口总值23.3亿元，下降22.3%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。</w:t>
      </w:r>
      <w:r>
        <w:rPr>
          <w:rFonts w:ascii="Times New Roman" w:eastAsia="方正仿宋_GBK" w:hAnsi="Times New Roman"/>
          <w:kern w:val="0"/>
          <w:sz w:val="32"/>
          <w:szCs w:val="32"/>
        </w:rPr>
        <w:t>其中，出口18.57亿元，下降26.3%；进口4.73亿元，下降1.4%。4月当月，西藏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货物贸易</w:t>
      </w:r>
      <w:r>
        <w:rPr>
          <w:rFonts w:ascii="Times New Roman" w:eastAsia="方正仿宋_GBK" w:hAnsi="Times New Roman"/>
          <w:kern w:val="0"/>
          <w:sz w:val="32"/>
          <w:szCs w:val="32"/>
        </w:rPr>
        <w:t>进出口总值7.38亿元，增长6.6%。其中，出口5.22亿元，下降8.3%；进口2.16亿元，增长75.8%。</w:t>
      </w:r>
    </w:p>
    <w:p>
      <w:pPr>
        <w:pStyle w:val="26"/>
        <w:tabs>
          <w:tab w:val="left" w:pos="4680"/>
        </w:tabs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pacing w:val="-4"/>
          <w:kern w:val="0"/>
          <w:sz w:val="32"/>
          <w:szCs w:val="32"/>
        </w:rPr>
      </w:pPr>
      <w:r>
        <w:rPr>
          <w:rFonts w:eastAsia="方正楷体_GBK"/>
          <w:b/>
          <w:sz w:val="32"/>
          <w:szCs w:val="32"/>
        </w:rPr>
        <w:t>从地市分布看，</w:t>
      </w:r>
      <w:r>
        <w:rPr>
          <w:rFonts w:ascii="Times New Roman" w:eastAsia="方正仿宋_GBK" w:hAnsi="Times New Roman" w:hint="eastAsia"/>
          <w:snapToGrid w:val="0"/>
          <w:spacing w:val="-4"/>
          <w:kern w:val="0"/>
          <w:sz w:val="32"/>
          <w:szCs w:val="32"/>
        </w:rPr>
        <w:t>1至</w:t>
      </w:r>
      <w:r>
        <w:rPr>
          <w:rFonts w:ascii="Times New Roman" w:eastAsia="方正仿宋_GBK" w:hAnsi="Times New Roman"/>
          <w:snapToGrid w:val="0"/>
          <w:spacing w:val="-4"/>
          <w:kern w:val="0"/>
          <w:sz w:val="32"/>
          <w:szCs w:val="32"/>
        </w:rPr>
        <w:t>4</w:t>
      </w:r>
      <w:r>
        <w:rPr>
          <w:rFonts w:ascii="Times New Roman" w:eastAsia="方正仿宋_GBK" w:hAnsi="Times New Roman" w:hint="eastAsia"/>
          <w:snapToGrid w:val="0"/>
          <w:spacing w:val="-4"/>
          <w:kern w:val="0"/>
          <w:sz w:val="32"/>
          <w:szCs w:val="32"/>
        </w:rPr>
        <w:t>月</w:t>
      </w:r>
      <w:r>
        <w:rPr>
          <w:rFonts w:ascii="Times New Roman" w:eastAsia="方正仿宋_GBK" w:hAnsi="Times New Roman"/>
          <w:sz w:val="32"/>
          <w:szCs w:val="32"/>
        </w:rPr>
        <w:t>，拉萨市进出口12.36亿元，下降26.6%，占全区外贸总值的53.1%；日喀则市进出口10.8亿元，下降16%，占全区外贸总值的46.4%；其他地市</w:t>
      </w:r>
      <w:r>
        <w:rPr>
          <w:rFonts w:ascii="Times New Roman" w:eastAsia="方正仿宋_GBK" w:hAnsi="Times New Roman" w:hint="eastAsia"/>
          <w:sz w:val="32"/>
          <w:szCs w:val="32"/>
        </w:rPr>
        <w:t>合计总值占比</w:t>
      </w:r>
      <w:r>
        <w:rPr>
          <w:rFonts w:ascii="Times New Roman" w:eastAsia="方正仿宋_GBK" w:hAnsi="Times New Roman"/>
          <w:sz w:val="32"/>
          <w:szCs w:val="32"/>
        </w:rPr>
        <w:t>0.5</w:t>
      </w:r>
      <w:r>
        <w:rPr>
          <w:rFonts w:ascii="Times New Roman" w:eastAsia="方正仿宋_GBK" w:hAnsi="Times New Roman" w:hint="eastAsia"/>
          <w:sz w:val="32"/>
          <w:szCs w:val="32"/>
        </w:rPr>
        <w:t>%</w:t>
      </w:r>
      <w:r>
        <w:rPr>
          <w:rFonts w:ascii="Times New Roman" w:eastAsia="方正仿宋_GBK" w:hAnsi="Times New Roman"/>
          <w:sz w:val="32"/>
          <w:szCs w:val="32"/>
        </w:rPr>
        <w:t>。</w:t>
      </w:r>
    </w:p>
    <w:p>
      <w:pPr>
        <w:pStyle w:val="35"/>
        <w:spacing w:line="56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>
        <w:rPr>
          <w:rFonts w:ascii="Times New Roman" w:eastAsia="方正楷体_GBK" w:cs="Times New Roman" w:hAnsi="Times New Roman"/>
          <w:b/>
          <w:sz w:val="32"/>
          <w:szCs w:val="32"/>
          <w:lang w:bidi="ar-SA"/>
        </w:rPr>
        <w:t>从</w:t>
      </w:r>
      <w:r>
        <w:rPr>
          <w:rFonts w:eastAsia="方正楷体_GBK"/>
          <w:b/>
          <w:sz w:val="32"/>
          <w:szCs w:val="32"/>
        </w:rPr>
        <w:t>市场主体看，</w:t>
      </w:r>
      <w:r>
        <w:rPr>
          <w:rFonts w:ascii="Times New Roman" w:eastAsia="方正仿宋_GBK" w:hAnsi="Times New Roman" w:hint="eastAsia"/>
          <w:snapToGrid w:val="0"/>
          <w:spacing w:val="-4"/>
          <w:kern w:val="0"/>
          <w:sz w:val="32"/>
          <w:szCs w:val="32"/>
        </w:rPr>
        <w:t>1至</w:t>
      </w:r>
      <w:r>
        <w:rPr>
          <w:rFonts w:ascii="Times New Roman" w:eastAsia="方正仿宋_GBK" w:hAnsi="Times New Roman"/>
          <w:snapToGrid w:val="0"/>
          <w:spacing w:val="-4"/>
          <w:kern w:val="0"/>
          <w:sz w:val="32"/>
          <w:szCs w:val="32"/>
        </w:rPr>
        <w:t>4</w:t>
      </w:r>
      <w:r>
        <w:rPr>
          <w:rFonts w:ascii="Times New Roman" w:eastAsia="方正仿宋_GBK" w:hAnsi="Times New Roman" w:hint="eastAsia"/>
          <w:snapToGrid w:val="0"/>
          <w:spacing w:val="-4"/>
          <w:kern w:val="0"/>
          <w:sz w:val="32"/>
          <w:szCs w:val="32"/>
        </w:rPr>
        <w:t>月</w:t>
      </w:r>
      <w:r>
        <w:rPr>
          <w:rFonts w:ascii="Times New Roman" w:eastAsia="方正仿宋_GBK" w:hAnsi="Times New Roman"/>
          <w:sz w:val="32"/>
          <w:szCs w:val="32"/>
        </w:rPr>
        <w:t>，西藏民营企业进出口21.62亿元，下降26.1%，占外贸总值的92.8%；国有企业进出口0.43亿元，下降27%。</w:t>
      </w:r>
    </w:p>
    <w:p>
      <w:pPr>
        <w:pStyle w:val="36"/>
        <w:spacing w:line="560" w:lineRule="exact"/>
        <w:ind w:firstLine="643"/>
        <w:rPr>
          <w:rFonts w:eastAsia="方正楷体_GBK"/>
          <w:b/>
        </w:rPr>
      </w:pPr>
      <w:r>
        <w:rPr>
          <w:rFonts w:ascii="Times New Roman" w:eastAsia="方正楷体_GBK" w:cs="Times New Roman" w:hAnsi="Times New Roman"/>
          <w:b/>
          <w:sz w:val="32"/>
          <w:szCs w:val="32"/>
          <w:lang w:bidi="ar-SA"/>
        </w:rPr>
        <w:t>从贸易结构看，</w:t>
      </w:r>
      <w:r>
        <w:rPr>
          <w:rFonts w:ascii="Times New Roman" w:eastAsia="方正仿宋_GBK" w:hAnsi="Times New Roman" w:hint="eastAsia"/>
          <w:snapToGrid w:val="0"/>
          <w:spacing w:val="-4"/>
          <w:kern w:val="0"/>
          <w:sz w:val="32"/>
          <w:szCs w:val="32"/>
        </w:rPr>
        <w:t>1至</w:t>
      </w:r>
      <w:r>
        <w:rPr>
          <w:rFonts w:ascii="Times New Roman" w:eastAsia="方正仿宋_GBK" w:hAnsi="Times New Roman"/>
          <w:snapToGrid w:val="0"/>
          <w:spacing w:val="-4"/>
          <w:kern w:val="0"/>
          <w:sz w:val="32"/>
          <w:szCs w:val="32"/>
        </w:rPr>
        <w:t>4</w:t>
      </w:r>
      <w:r>
        <w:rPr>
          <w:rFonts w:ascii="Times New Roman" w:eastAsia="方正仿宋_GBK" w:hAnsi="Times New Roman" w:hint="eastAsia"/>
          <w:snapToGrid w:val="0"/>
          <w:spacing w:val="-4"/>
          <w:kern w:val="0"/>
          <w:sz w:val="32"/>
          <w:szCs w:val="32"/>
        </w:rPr>
        <w:t>月</w:t>
      </w:r>
      <w:r>
        <w:t>，</w:t>
      </w:r>
      <w:r>
        <w:rPr>
          <w:bCs/>
        </w:rPr>
        <w:t>西藏</w:t>
      </w:r>
      <w:r>
        <w:rPr>
          <w:color w:val="000000"/>
          <w:kern w:val="0"/>
        </w:rPr>
        <w:t>边境小额贸易</w:t>
      </w:r>
      <w:r>
        <w:t>进出口</w:t>
      </w:r>
      <w:r>
        <w:rPr>
          <w:color w:val="000000"/>
          <w:kern w:val="0"/>
        </w:rPr>
        <w:t>10.66亿元，下降9.1%；一般贸易</w:t>
      </w:r>
      <w:r>
        <w:t>进出口</w:t>
      </w:r>
      <w:r>
        <w:rPr>
          <w:color w:val="000000"/>
          <w:kern w:val="0"/>
        </w:rPr>
        <w:t>9.09亿元，下降47.1%；</w:t>
      </w:r>
      <w:r>
        <w:rPr>
          <w:rFonts w:hint="eastAsia"/>
          <w:color w:val="000000"/>
          <w:kern w:val="0"/>
        </w:rPr>
        <w:t>海关特殊监管区域物流货物</w:t>
      </w:r>
      <w:r>
        <w:t>进出口</w:t>
      </w:r>
      <w:r>
        <w:rPr>
          <w:color w:val="000000"/>
          <w:kern w:val="0"/>
        </w:rPr>
        <w:t>1.28亿元，增长37.7%。</w:t>
      </w:r>
    </w:p>
    <w:p>
      <w:pPr>
        <w:pStyle w:val="37"/>
        <w:spacing w:line="560" w:lineRule="exact"/>
        <w:ind w:firstLine="643"/>
        <w:rPr>
          <w:rFonts w:eastAsia="方正仿宋_GBK"/>
        </w:rPr>
      </w:pPr>
      <w:r>
        <w:rPr>
          <w:rFonts w:ascii="Times New Roman" w:eastAsia="方正楷体_GBK" w:cs="Times New Roman" w:hAnsi="Times New Roman"/>
          <w:b/>
          <w:sz w:val="32"/>
          <w:szCs w:val="32"/>
          <w:lang w:bidi="ar-SA"/>
        </w:rPr>
        <w:t>从贸易伙伴看，</w:t>
      </w:r>
      <w:r>
        <w:rPr>
          <w:rFonts w:ascii="Times New Roman" w:eastAsia="方正仿宋_GBK" w:hAnsi="Times New Roman" w:hint="eastAsia"/>
          <w:snapToGrid w:val="0"/>
          <w:spacing w:val="-4"/>
          <w:kern w:val="0"/>
          <w:sz w:val="32"/>
          <w:szCs w:val="32"/>
        </w:rPr>
        <w:t>1至</w:t>
      </w:r>
      <w:r>
        <w:rPr>
          <w:rFonts w:ascii="Times New Roman" w:eastAsia="方正仿宋_GBK" w:hAnsi="Times New Roman"/>
          <w:snapToGrid w:val="0"/>
          <w:spacing w:val="-4"/>
          <w:kern w:val="0"/>
          <w:sz w:val="32"/>
          <w:szCs w:val="32"/>
        </w:rPr>
        <w:t>4</w:t>
      </w:r>
      <w:r>
        <w:rPr>
          <w:rFonts w:ascii="Times New Roman" w:eastAsia="方正仿宋_GBK" w:hAnsi="Times New Roman" w:hint="eastAsia"/>
          <w:snapToGrid w:val="0"/>
          <w:spacing w:val="-4"/>
          <w:kern w:val="0"/>
          <w:sz w:val="32"/>
          <w:szCs w:val="32"/>
        </w:rPr>
        <w:t>月</w:t>
      </w:r>
      <w:r>
        <w:t>，西藏对尼泊尔进出口14.49亿元，增长10.6%</w:t>
      </w:r>
      <w:r>
        <w:rPr>
          <w:rFonts w:hint="eastAsia"/>
        </w:rPr>
        <w:t>；对</w:t>
      </w:r>
      <w:r>
        <w:t>中国香港</w:t>
      </w:r>
      <w:r>
        <w:rPr>
          <w:rFonts w:hint="eastAsia"/>
        </w:rPr>
        <w:t>、</w:t>
      </w:r>
      <w:r>
        <w:t>澳大利亚</w:t>
      </w:r>
      <w:r>
        <w:rPr>
          <w:rFonts w:hint="eastAsia"/>
        </w:rPr>
        <w:t>分别进出口</w:t>
      </w:r>
      <w:r>
        <w:t>2.01</w:t>
      </w:r>
      <w:r>
        <w:rPr>
          <w:rFonts w:hint="eastAsia"/>
        </w:rPr>
        <w:t>亿元和</w:t>
      </w:r>
      <w:r>
        <w:t>1.19</w:t>
      </w:r>
      <w:r>
        <w:rPr>
          <w:rFonts w:hint="eastAsia"/>
        </w:rPr>
        <w:t>亿元</w:t>
      </w:r>
      <w:r>
        <w:t>，分别增长78.4倍、下降49%</w:t>
      </w:r>
      <w:r>
        <w:rPr>
          <w:rFonts w:hint="eastAsia"/>
        </w:rPr>
        <w:t>。</w:t>
      </w:r>
      <w:r>
        <w:t>对</w:t>
      </w:r>
      <w:r>
        <w:rPr>
          <w:color w:val="000000"/>
          <w:kern w:val="0"/>
        </w:rPr>
        <w:t>共建</w:t>
      </w:r>
      <w:r>
        <w:rPr>
          <w:rFonts w:hint="eastAsia"/>
          <w:color w:val="000000"/>
          <w:kern w:val="0"/>
        </w:rPr>
        <w:t>“</w:t>
      </w:r>
      <w:r>
        <w:rPr>
          <w:color w:val="000000"/>
          <w:kern w:val="0"/>
        </w:rPr>
        <w:t>一带一路</w:t>
      </w:r>
      <w:r>
        <w:rPr>
          <w:rFonts w:hint="eastAsia"/>
          <w:color w:val="000000"/>
          <w:kern w:val="0"/>
        </w:rPr>
        <w:t>”</w:t>
      </w:r>
      <w:r>
        <w:rPr>
          <w:color w:val="000000"/>
          <w:kern w:val="0"/>
        </w:rPr>
        <w:t>国家进出口18.28亿元，</w:t>
      </w:r>
      <w:r>
        <w:t>下降15.4</w:t>
      </w:r>
      <w:r>
        <w:rPr>
          <w:color w:val="000000"/>
          <w:kern w:val="0"/>
        </w:rPr>
        <w:t>%。</w:t>
      </w:r>
      <w:r>
        <w:t>对南亚国家进出口15亿元，增长10%。对RCEP其他成</w:t>
      </w:r>
      <w:bookmarkStart w:id="0" w:name="_GoBack"/>
      <w:bookmarkEnd w:id="0"/>
      <w:r>
        <w:t>员国</w:t>
      </w:r>
      <w:r>
        <w:rPr>
          <w:color w:val="000000"/>
          <w:kern w:val="0"/>
        </w:rPr>
        <w:t>进出口3.29亿元，</w:t>
      </w:r>
      <w:r>
        <w:t>下降57.4</w:t>
      </w:r>
      <w:r>
        <w:rPr>
          <w:color w:val="000000"/>
          <w:kern w:val="0"/>
        </w:rPr>
        <w:t>%。</w:t>
      </w:r>
    </w:p>
    <w:p>
      <w:pPr>
        <w:pStyle w:val="38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eastAsia="方正楷体_GBK"/>
          <w:b/>
          <w:sz w:val="32"/>
          <w:szCs w:val="32"/>
        </w:rPr>
        <w:t>从商品结构看，</w:t>
      </w:r>
      <w:r>
        <w:rPr>
          <w:rFonts w:ascii="Times New Roman" w:eastAsia="方正仿宋_GBK" w:hAnsi="Times New Roman" w:hint="eastAsia"/>
          <w:snapToGrid w:val="0"/>
          <w:spacing w:val="-4"/>
          <w:kern w:val="0"/>
          <w:sz w:val="32"/>
          <w:szCs w:val="32"/>
        </w:rPr>
        <w:t>1至</w:t>
      </w:r>
      <w:r>
        <w:rPr>
          <w:rFonts w:ascii="Times New Roman" w:eastAsia="方正仿宋_GBK" w:hAnsi="Times New Roman"/>
          <w:snapToGrid w:val="0"/>
          <w:spacing w:val="-4"/>
          <w:kern w:val="0"/>
          <w:sz w:val="32"/>
          <w:szCs w:val="32"/>
        </w:rPr>
        <w:t>4</w:t>
      </w:r>
      <w:r>
        <w:rPr>
          <w:rFonts w:ascii="Times New Roman" w:eastAsia="方正仿宋_GBK" w:hAnsi="Times New Roman" w:hint="eastAsia"/>
          <w:snapToGrid w:val="0"/>
          <w:spacing w:val="-4"/>
          <w:kern w:val="0"/>
          <w:sz w:val="32"/>
          <w:szCs w:val="32"/>
        </w:rPr>
        <w:t>月</w:t>
      </w:r>
      <w:r>
        <w:rPr>
          <w:rFonts w:ascii="Times New Roman" w:eastAsia="方正仿宋_GBK" w:hAnsi="Times New Roman"/>
          <w:sz w:val="32"/>
          <w:szCs w:val="32"/>
        </w:rPr>
        <w:t>，出口消费品13.02亿元，下降22.1%；</w:t>
      </w:r>
      <w:r>
        <w:rPr>
          <w:rFonts w:ascii="Times New Roman" w:eastAsia="方正仿宋_GBK" w:hAnsi="Times New Roman"/>
          <w:bCs/>
          <w:sz w:val="32"/>
          <w:szCs w:val="32"/>
        </w:rPr>
        <w:t>出口劳动密集型产品10.22亿元，</w:t>
      </w:r>
      <w:r>
        <w:rPr>
          <w:rFonts w:ascii="Times New Roman" w:eastAsia="方正仿宋_GBK" w:hAnsi="Times New Roman"/>
          <w:sz w:val="32"/>
          <w:szCs w:val="32"/>
        </w:rPr>
        <w:t>下降22.9</w:t>
      </w:r>
      <w:r>
        <w:rPr>
          <w:rFonts w:ascii="Times New Roman" w:eastAsia="方正仿宋_GBK" w:hAnsi="Times New Roman"/>
          <w:bCs/>
          <w:sz w:val="32"/>
          <w:szCs w:val="32"/>
        </w:rPr>
        <w:t>%</w:t>
      </w:r>
      <w:r>
        <w:rPr>
          <w:rFonts w:ascii="Times New Roman" w:eastAsia="方正仿宋_GBK" w:hAnsi="Times New Roman"/>
          <w:sz w:val="32"/>
          <w:szCs w:val="32"/>
        </w:rPr>
        <w:t>；</w:t>
      </w:r>
      <w:r>
        <w:rPr>
          <w:rFonts w:ascii="Times New Roman" w:eastAsia="方正仿宋_GBK" w:hAnsi="Times New Roman"/>
          <w:bCs/>
          <w:sz w:val="32"/>
          <w:szCs w:val="32"/>
        </w:rPr>
        <w:t>出口</w:t>
      </w:r>
      <w:r>
        <w:rPr>
          <w:rFonts w:ascii="Times New Roman" w:eastAsia="方正仿宋_GBK" w:hAnsi="Times New Roman"/>
          <w:sz w:val="32"/>
          <w:szCs w:val="32"/>
        </w:rPr>
        <w:t>机电产品5.25亿元，下降31%。</w:t>
      </w:r>
      <w:r>
        <w:rPr>
          <w:rFonts w:ascii="Times New Roman" w:eastAsia="方正仿宋_GBK" w:hAnsi="Times New Roman"/>
          <w:bCs/>
          <w:sz w:val="32"/>
          <w:szCs w:val="32"/>
        </w:rPr>
        <w:t>进口</w:t>
      </w:r>
      <w:r>
        <w:rPr>
          <w:rFonts w:ascii="Times New Roman" w:eastAsia="方正仿宋_GBK" w:hAnsi="Times New Roman"/>
          <w:sz w:val="32"/>
          <w:szCs w:val="32"/>
        </w:rPr>
        <w:t>大宗商品1.92亿元，下降33.9%；进口消费品1.13亿元，增长1.8倍；进口机电产品0.86亿元，下降18.9%。</w:t>
      </w:r>
    </w:p>
    <w:p>
      <w:pPr>
        <w:pStyle w:val="28"/>
        <w:spacing w:line="560" w:lineRule="exact"/>
        <w:ind w:firstLineChars="200" w:firstLine="640"/>
        <w:rPr>
          <w:rFonts w:eastAsia="方正仿宋_GBK"/>
          <w:color w:val="000000"/>
          <w:kern w:val="0"/>
          <w:sz w:val="32"/>
          <w:szCs w:val="32"/>
        </w:rPr>
      </w:pPr>
    </w:p>
    <w:p/>
    <w:sectPr>
      <w:footerReference w:type="default" r:id="rId2"/>
      <w:pgSz w:w="11906" w:h="16838"/>
      <w:pgMar w:top="2098" w:right="1474" w:bottom="1985" w:left="1588" w:header="851" w:footer="1474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Calibri">
    <w:altName w:val="Times New Roman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altName w:val="DejaVu Sans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方正黑体_GBK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ourier New">
    <w:altName w:val="DejaVu Sans"/>
    <w:panose1 w:val="02070409020205090404"/>
    <w:charset w:val="00"/>
    <w:family w:val="auto"/>
    <w:pitch w:val="variable"/>
    <w:sig w:usb0="00007A87" w:usb1="80000000" w:usb2="00000008" w:usb3="00000000" w:csb0="400001FF" w:csb1="FFFF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framePr w:w="0" w:hRule="auto" w:wrap="around" w:vAnchor="text" w:hAnchor="margin" w:xAlign="outside" w:y="1" w:anchorLock="0"/>
      <w:tabs>
        <w:tab w:val="center" w:pos="4153"/>
        <w:tab w:val="right" w:pos="8306"/>
      </w:tabs>
      <w:rPr>
        <w:rFonts w:ascii="宋体" w:hint="eastAsia"/>
        <w:sz w:val="28"/>
        <w:szCs w:val="28"/>
      </w:rPr>
    </w:pPr>
    <w:r>
      <w:rPr>
        <w:rStyle w:val="19"/>
        <w:rFonts w:ascii="宋体" w:hint="eastAsia"/>
        <w:sz w:val="28"/>
        <w:szCs w:val="28"/>
      </w:rPr>
      <w:t xml:space="preserve">— </w:t>
    </w:r>
    <w:r>
      <w:rPr>
        <w:rStyle w:val="19"/>
        <w:rFonts w:ascii="宋体" w:hint="eastAsia"/>
        <w:sz w:val="28"/>
        <w:szCs w:val="28"/>
      </w:rPr>
      <w:fldChar w:fldCharType="begin"/>
    </w:r>
    <w:r>
      <w:rPr>
        <w:rStyle w:val="19"/>
        <w:rFonts w:ascii="宋体" w:hint="eastAsia"/>
        <w:sz w:val="28"/>
        <w:szCs w:val="28"/>
      </w:rPr>
      <w:instrText>Page</w:instrText>
    </w:r>
    <w:r>
      <w:rPr>
        <w:rStyle w:val="19"/>
        <w:rFonts w:ascii="宋体" w:hint="eastAsia"/>
        <w:sz w:val="28"/>
        <w:szCs w:val="28"/>
      </w:rPr>
      <w:fldChar w:fldCharType="separate"/>
    </w:r>
    <w:r>
      <w:rPr>
        <w:rStyle w:val="19"/>
        <w:rFonts w:ascii="宋体" w:hint="eastAsia"/>
        <w:sz w:val="28"/>
        <w:szCs w:val="28"/>
      </w:rPr>
      <w:t>2</w:t>
    </w:r>
    <w:r>
      <w:rPr>
        <w:rStyle w:val="19"/>
        <w:rFonts w:ascii="宋体" w:hint="eastAsia"/>
        <w:sz w:val="28"/>
        <w:szCs w:val="28"/>
      </w:rPr>
      <w:fldChar w:fldCharType="end"/>
    </w:r>
    <w:r>
      <w:rPr>
        <w:rStyle w:val="19"/>
        <w:rFonts w:ascii="宋体" w:hint="eastAsia"/>
        <w:sz w:val="28"/>
        <w:szCs w:val="28"/>
      </w:rPr>
      <w:t xml:space="preserve"> —</w:t>
    </w:r>
  </w:p>
  <w:p>
    <w:pPr>
      <w:pStyle w:val="16"/>
      <w:tabs>
        <w:tab w:val="center" w:pos="4153"/>
        <w:tab w:val="right" w:pos="8306"/>
      </w:tabs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50"/>
  <w:displayBackgroundShape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noPunctuationKerning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footnote text"/>
    <w:basedOn w:val="0"/>
    <w:pPr>
      <w:snapToGrid w:val="0"/>
      <w:jc w:val="left"/>
    </w:pPr>
    <w:rPr>
      <w:sz w:val="18"/>
      <w:szCs w:val="18"/>
    </w:rPr>
  </w:style>
  <w:style w:type="paragraph" w:styleId="16">
    <w:name w:val="footer"/>
    <w:basedOn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kern w:val="2"/>
      <w:sz w:val="18"/>
      <w:szCs w:val="18"/>
      <w:lang w:val="en-US" w:eastAsia="zh-CN" w:bidi="ar-SA"/>
    </w:rPr>
  </w:style>
  <w:style w:type="character" w:styleId="17">
    <w:name w:val="footnote reference"/>
    <w:basedOn w:val="10"/>
    <w:rPr>
      <w:vertAlign w:val="superscript"/>
    </w:rPr>
  </w:style>
  <w:style w:type="character" w:styleId="18">
    <w:name w:val="annotation reference"/>
    <w:basedOn w:val="10"/>
    <w:rPr>
      <w:sz w:val="21"/>
      <w:szCs w:val="21"/>
    </w:rPr>
  </w:style>
  <w:style w:type="character" w:styleId="19">
    <w:name w:val="page number"/>
    <w:basedOn w:val="0"/>
  </w:style>
  <w:style w:type="paragraph" w:styleId="20">
    <w:name w:val="Body Text 2"/>
    <w:basedOn w:val="0"/>
    <w:pPr>
      <w:spacing w:after="120" w:line="480" w:lineRule="auto"/>
    </w:pPr>
  </w:style>
  <w:style w:type="character" w:styleId="21">
    <w:name w:val="FollowedHyperlink"/>
    <w:basedOn w:val="10"/>
    <w:rPr>
      <w:color w:val="800080"/>
      <w:u w:val="single"/>
    </w:rPr>
  </w:style>
  <w:style w:type="character" w:styleId="22">
    <w:name w:val="Strong"/>
    <w:basedOn w:val="10"/>
    <w:rPr>
      <w:b/>
      <w:bCs/>
    </w:rPr>
  </w:style>
  <w:style w:type="character" w:styleId="23">
    <w:name w:val="Emphasis"/>
    <w:basedOn w:val="10"/>
    <w:rPr>
      <w:i/>
    </w:rPr>
  </w:style>
  <w:style w:type="paragraph" w:styleId="24">
    <w:name w:val="Document Map"/>
    <w:basedOn w:val="0"/>
    <w:pPr>
      <w:shd w:val="clear" w:color="auto" w:fill="000080"/>
    </w:pPr>
  </w:style>
  <w:style w:type="paragraph" w:styleId="25">
    <w:name w:val="Plain Text"/>
    <w:basedOn w:val="0"/>
    <w:rPr>
      <w:rFonts w:ascii="Courier New" w:eastAsia="宋体" w:hAnsi="Courier New"/>
    </w:rPr>
  </w:style>
  <w:style w:type="paragraph" w:customStyle="1" w:styleId="26">
    <w:name w:val="样式 41 10 磅"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7 10 磅"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39 10 磅"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1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30">
    <w:name w:val="样式 2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31">
    <w:name w:val="样式 40 10 磅"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1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33">
    <w:name w:val="样式 10 磅"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1 10 磅"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2 10 磅"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37">
    <w:name w:val="样式 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38">
    <w:name w:val="样式 3 10 磅"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customStyle="1" w:styleId="39">
    <w:name w:val="样式 4 10 磅"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</TotalTime>
  <Application>Yozo_Office</Application>
  <Pages>2</Pages>
  <Words>528</Words>
  <Characters>716</Characters>
  <Lines>29</Lines>
  <Paragraphs>7</Paragraphs>
  <CharactersWithSpaces>716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User274</dc:creator>
  <cp:lastModifiedBy>祁海蓉</cp:lastModifiedBy>
  <cp:revision>1</cp:revision>
  <dcterms:created xsi:type="dcterms:W3CDTF">2021-05-08T07:28:00Z</dcterms:created>
  <dcterms:modified xsi:type="dcterms:W3CDTF">2026-05-18T09:20:02Z</dcterms:modified>
</cp:coreProperties>
</file>